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2022年中山市第二届图书馆从业人员专业知识竞赛活动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项目用户需求书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一、项目名称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2022年中山市第二届图书馆从业人员专业知识竞赛活动项目（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本项目</w:t>
      </w:r>
      <w:r>
        <w:rPr>
          <w:rFonts w:hint="eastAsia" w:ascii="仿宋" w:hAnsi="仿宋" w:eastAsia="仿宋" w:cs="仿宋"/>
          <w:sz w:val="32"/>
          <w:szCs w:val="32"/>
        </w:rPr>
        <w:t>不得以任何方式进行转包或分包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二、项目预算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135,765</w:t>
      </w:r>
      <w:r>
        <w:rPr>
          <w:rFonts w:hint="eastAsia" w:ascii="仿宋" w:hAnsi="仿宋" w:eastAsia="仿宋" w:cs="仿宋"/>
          <w:sz w:val="32"/>
          <w:szCs w:val="32"/>
        </w:rPr>
        <w:t>元（拾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叁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伍仟柒佰陆拾伍</w:t>
      </w:r>
      <w:r>
        <w:rPr>
          <w:rFonts w:hint="eastAsia" w:ascii="仿宋" w:hAnsi="仿宋" w:eastAsia="仿宋" w:cs="仿宋"/>
          <w:sz w:val="32"/>
          <w:szCs w:val="32"/>
        </w:rPr>
        <w:t>元整）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三、采购项目内容及需求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（一）需求简介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为进一步促进全民阅读，全面提高</w:t>
      </w:r>
      <w:r>
        <w:rPr>
          <w:rFonts w:hint="eastAsia" w:ascii="仿宋" w:hAnsi="仿宋" w:eastAsia="仿宋" w:cs="仿宋"/>
          <w:sz w:val="32"/>
          <w:szCs w:val="32"/>
        </w:rPr>
        <w:t>从业人员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知识储备量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提升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公共</w:t>
      </w:r>
      <w:r>
        <w:rPr>
          <w:rFonts w:hint="eastAsia" w:ascii="仿宋" w:hAnsi="仿宋" w:eastAsia="仿宋" w:cs="仿宋"/>
          <w:sz w:val="32"/>
          <w:szCs w:val="32"/>
        </w:rPr>
        <w:t>图书馆整体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</w:rPr>
        <w:t>效能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，建设书香中山，中山纪念图书馆特面向</w:t>
      </w:r>
      <w:r>
        <w:rPr>
          <w:rFonts w:hint="eastAsia" w:ascii="仿宋" w:hAnsi="仿宋" w:eastAsia="仿宋" w:cs="仿宋"/>
          <w:sz w:val="32"/>
          <w:szCs w:val="32"/>
        </w:rPr>
        <w:t>全市图书馆从业人员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第二届图书馆从业人员专业知识竞赛，</w:t>
      </w:r>
      <w:r>
        <w:rPr>
          <w:rFonts w:hint="eastAsia" w:ascii="仿宋" w:hAnsi="仿宋" w:eastAsia="仿宋" w:cs="仿宋"/>
          <w:sz w:val="32"/>
          <w:szCs w:val="32"/>
        </w:rPr>
        <w:t>引导从业人员深入学习公共图书馆相关的政策、法规、条例和业务知识，全面提升各级各类图书馆的服务能力与水平，加深从业人员的知识储备量，提升中山市图书馆总分馆服务体系的整体效能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（二）基本内容</w:t>
      </w:r>
    </w:p>
    <w:p>
      <w:pPr>
        <w:ind w:firstLine="645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1.活动主题：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强素质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·提效能·开新局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</w:rPr>
        <w:t>：分为线上学习、线上海选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线下决赛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线上学习：参与者提前学习知识竞赛知识要点，并在规定时间内完成线上答题练习。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线上海选：全市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图书馆从业人员参与线上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海选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，每位参与者自行通过线上注册，选择自己所在的镇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（街）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，在规定时间内完成线上答题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，正式答题只有一次机会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线上海选前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30强可获得荣誉证书。</w:t>
      </w:r>
    </w:p>
    <w:p>
      <w:pPr>
        <w:spacing w:line="360" w:lineRule="auto"/>
        <w:ind w:firstLine="640" w:firstLineChars="20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线下决赛：决赛分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三个部分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：一是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技能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实操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参赛者在规定的时间内完成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纸质文献</w:t>
      </w:r>
      <w:r>
        <w:rPr>
          <w:rFonts w:hint="eastAsia" w:ascii="仿宋_GB2312" w:hAnsi="仿宋_GB2312" w:eastAsia="仿宋_GB2312" w:cs="仿宋_GB2312"/>
          <w:sz w:val="32"/>
          <w:szCs w:val="32"/>
        </w:rPr>
        <w:t>查找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和数字文献检索</w:t>
      </w:r>
      <w:r>
        <w:rPr>
          <w:rFonts w:hint="eastAsia" w:ascii="仿宋_GB2312" w:hAnsi="仿宋_GB2312" w:eastAsia="仿宋_GB2312" w:cs="仿宋_GB2312"/>
          <w:sz w:val="32"/>
          <w:szCs w:val="32"/>
        </w:rPr>
        <w:t>；二是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集中PK相关知识和操作问答。</w:t>
      </w:r>
      <w:r>
        <w:rPr>
          <w:rFonts w:hint="eastAsia" w:ascii="仿宋_GB2312" w:hAnsi="仿宋_GB2312" w:eastAsia="仿宋_GB2312" w:cs="仿宋_GB2312"/>
          <w:sz w:val="32"/>
          <w:szCs w:val="32"/>
        </w:rPr>
        <w:t>海选赛中综合平均分最高的6个镇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（街）</w:t>
      </w:r>
      <w:r>
        <w:rPr>
          <w:rFonts w:hint="eastAsia" w:ascii="仿宋_GB2312" w:hAnsi="仿宋_GB2312" w:eastAsia="仿宋_GB2312" w:cs="仿宋_GB2312"/>
          <w:sz w:val="32"/>
          <w:szCs w:val="32"/>
        </w:rPr>
        <w:t>可自行组建三人团队，以团队的形式参加线下知识竞赛决赛。晋级总决赛的队伍将通过必答、抢答、挑战答题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、图书推荐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及附加赛（针对同分队伍）决出各项奖项。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三是专家点评指导及培训。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总决赛现场拟邀请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1-2名国内图书馆学、情报学专家进行专业点评和指导。根据决赛成绩，评选出一等奖、二等奖、三等奖、优秀组织奖。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3.服务期限：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2022年5月21日至8月31日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活动</w:t>
      </w:r>
      <w:r>
        <w:rPr>
          <w:rFonts w:hint="eastAsia" w:ascii="仿宋" w:hAnsi="仿宋" w:eastAsia="仿宋" w:cs="仿宋"/>
          <w:sz w:val="32"/>
          <w:szCs w:val="32"/>
        </w:rPr>
        <w:t>服务要求：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（1）按照项目活动宗旨和形式要求提供完善的活动整体策划方案，包括但不限于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活动执行方案、</w:t>
      </w:r>
      <w:r>
        <w:rPr>
          <w:rFonts w:hint="eastAsia" w:ascii="仿宋" w:hAnsi="仿宋" w:eastAsia="仿宋" w:cs="仿宋"/>
          <w:sz w:val="32"/>
          <w:szCs w:val="32"/>
        </w:rPr>
        <w:t>媒体宣传方案、疫情防控方案、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突发事件应急预案等。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（2）开发线上答题系统，提供不少于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500题的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线上答题题库，完善精品题型。题库内容包括公共图书馆相关的政策、法规、条例、业务知识等相关内容，并通过相关专家审核。要求在活动规则不变、系统架构不变的情况下，相关竞投人对答题系统提供不少于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3年的免费维护服务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（3）设计印制线下决赛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舞台场地</w:t>
      </w:r>
      <w:r>
        <w:rPr>
          <w:rFonts w:hint="eastAsia" w:ascii="仿宋" w:hAnsi="仿宋" w:eastAsia="仿宋" w:cs="仿宋"/>
          <w:sz w:val="32"/>
          <w:szCs w:val="32"/>
        </w:rPr>
        <w:t>相关设计、搭建、物料制作工作，包括氛围搭建、背景桁架、路口引导牌、展架、宣传海报和各类活动物料制作。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（4）策划、组织、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落实活动</w:t>
      </w:r>
      <w:r>
        <w:rPr>
          <w:rFonts w:hint="eastAsia" w:ascii="仿宋" w:hAnsi="仿宋" w:eastAsia="仿宋" w:cs="仿宋"/>
          <w:sz w:val="32"/>
          <w:szCs w:val="32"/>
        </w:rPr>
        <w:t>相关筹办工作，包括组织工作、技术支持（多媒体设备、网络、现场布置等）。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（5）包括但不限于工作证、通行证等相关证件制作，嘉宾领导水牌制作，按照活动规模提供饮用水供应。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（6）安排专业摄影、摄像、剪辑、礼仪、主持等岗位工作人员，做好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各场次活动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全程</w:t>
      </w:r>
      <w:r>
        <w:rPr>
          <w:rFonts w:hint="eastAsia" w:ascii="仿宋" w:hAnsi="仿宋" w:eastAsia="仿宋" w:cs="仿宋"/>
          <w:sz w:val="32"/>
          <w:szCs w:val="32"/>
        </w:rPr>
        <w:t>摄影、摄像，并保障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活动</w:t>
      </w:r>
      <w:r>
        <w:rPr>
          <w:rFonts w:hint="eastAsia" w:ascii="仿宋" w:hAnsi="仿宋" w:eastAsia="仿宋" w:cs="仿宋"/>
          <w:sz w:val="32"/>
          <w:szCs w:val="32"/>
        </w:rPr>
        <w:t>顺利举办。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（7）做好活动期间的各项安全和后勤保障工作，含所有参赛人员健康监测、疫情防控和活动突发情况处理等。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（8）活动结束5个工作日内整理本次活动的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相关材料，内容如下。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601"/>
        <w:gridCol w:w="2317"/>
        <w:gridCol w:w="1651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768" w:type="dxa"/>
          </w:tcPr>
          <w:p>
            <w:pPr>
              <w:ind w:firstLine="64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2452" w:type="dxa"/>
          </w:tcPr>
          <w:p>
            <w:pPr>
              <w:ind w:firstLine="64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活动整体策划方案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具体完善</w:t>
            </w:r>
          </w:p>
        </w:tc>
        <w:tc>
          <w:tcPr>
            <w:tcW w:w="1725" w:type="dxa"/>
            <w:vAlign w:val="center"/>
          </w:tcPr>
          <w:p>
            <w:pPr>
              <w:ind w:firstLine="645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项目执行方案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含《参赛须知》、线下决赛流程等内容，具体、详细、分工明确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根据实际情况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媒体宣传方案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具体、详细、分工明确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根据实际情况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疫情防控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及突发事件防控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方案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具体、详细、分工明确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根据实际情况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合同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2022年中山市第二届图书馆从业人员专业知识竞赛活动项目；答题系统（不少于3年的免费维护服务）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知识竞赛题库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内含服务场景题等，题库不得少于500题；题库内容须组织专家审核并形成材料。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根据实际情况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线上海选答题数据及截图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线下决赛现场签到表</w:t>
            </w:r>
          </w:p>
        </w:tc>
        <w:tc>
          <w:tcPr>
            <w:tcW w:w="2452" w:type="dxa"/>
            <w:vAlign w:val="center"/>
          </w:tcPr>
          <w:p>
            <w:pPr>
              <w:ind w:firstLine="645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ind w:firstLine="645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线下决赛现场照片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照片高清，角度全面，不少于300张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根据实际情况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线下决赛直播链接及赛后截图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清晰显示线上观看人数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根据实际情况</w:t>
            </w:r>
          </w:p>
        </w:tc>
        <w:tc>
          <w:tcPr>
            <w:tcW w:w="1101" w:type="dxa"/>
            <w:vAlign w:val="center"/>
          </w:tcPr>
          <w:p>
            <w:pPr>
              <w:ind w:firstLine="64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活动整体1-2分钟视频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图像清晰、流畅</w:t>
            </w:r>
          </w:p>
        </w:tc>
        <w:tc>
          <w:tcPr>
            <w:tcW w:w="1725" w:type="dxa"/>
            <w:vAlign w:val="center"/>
          </w:tcPr>
          <w:p>
            <w:pPr>
              <w:ind w:firstLine="645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活动整体15秒视频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图像清晰、流畅</w:t>
            </w:r>
          </w:p>
        </w:tc>
        <w:tc>
          <w:tcPr>
            <w:tcW w:w="1725" w:type="dxa"/>
            <w:vAlign w:val="center"/>
          </w:tcPr>
          <w:p>
            <w:pPr>
              <w:ind w:firstLine="645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各类媒体宣传汇总表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含链接，具体数量和要求依据《宣传服务要求》提供</w:t>
            </w:r>
          </w:p>
        </w:tc>
        <w:tc>
          <w:tcPr>
            <w:tcW w:w="1725" w:type="dxa"/>
            <w:vAlign w:val="center"/>
          </w:tcPr>
          <w:p>
            <w:pPr>
              <w:ind w:firstLine="645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国家级报刊1/3版的专题报道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提供发布当期的国家级报刊（纸质）和电子版</w:t>
            </w:r>
          </w:p>
        </w:tc>
        <w:tc>
          <w:tcPr>
            <w:tcW w:w="1725" w:type="dxa"/>
            <w:vAlign w:val="center"/>
          </w:tcPr>
          <w:p>
            <w:pPr>
              <w:ind w:firstLine="645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活动海报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提供电子设计稿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根据实际情况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物品签领表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根据实际情况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活动情况总结报告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不少于2000字（配图片）</w:t>
            </w:r>
          </w:p>
        </w:tc>
        <w:tc>
          <w:tcPr>
            <w:tcW w:w="1725" w:type="dxa"/>
            <w:vAlign w:val="center"/>
          </w:tcPr>
          <w:p>
            <w:pPr>
              <w:ind w:firstLine="645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76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项目支出清单（盖章）及物料清单</w:t>
            </w:r>
          </w:p>
        </w:tc>
        <w:tc>
          <w:tcPr>
            <w:tcW w:w="2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份</w:t>
            </w:r>
          </w:p>
        </w:tc>
      </w:tr>
    </w:tbl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宣传</w:t>
      </w:r>
      <w:r>
        <w:rPr>
          <w:rFonts w:hint="eastAsia" w:ascii="仿宋" w:hAnsi="仿宋" w:eastAsia="仿宋" w:cs="仿宋"/>
          <w:sz w:val="32"/>
          <w:szCs w:val="32"/>
        </w:rPr>
        <w:t>服务要求：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1）做好活动前期预告及后期回顾的宣传工作，充分利用线上APP、微信平台、纸媒、网页宣传等各类媒体平台对活动进行宣传报道，渠道扩大活动影响力。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）活动期间须有媒体进行现场采访报道，须有专业摄影团队对活动全程进行专业图片拍摄、视频录像、线上直播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、宣传片和</w:t>
      </w:r>
      <w:r>
        <w:rPr>
          <w:rFonts w:hint="eastAsia" w:ascii="仿宋" w:hAnsi="仿宋" w:eastAsia="仿宋" w:cs="仿宋"/>
          <w:sz w:val="32"/>
          <w:szCs w:val="32"/>
        </w:rPr>
        <w:t>花絮制作。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）报道成果要求如下：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）现场拍摄宣传：</w:t>
      </w:r>
      <w:r>
        <w:rPr>
          <w:rFonts w:hint="eastAsia" w:ascii="仿宋" w:hAnsi="仿宋" w:eastAsia="仿宋" w:cs="仿宋"/>
          <w:sz w:val="32"/>
          <w:szCs w:val="32"/>
        </w:rPr>
        <w:t>知识竞赛线下决赛将邀请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不少于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3家市级</w:t>
      </w:r>
      <w:r>
        <w:rPr>
          <w:rFonts w:hint="eastAsia" w:ascii="仿宋" w:hAnsi="仿宋" w:eastAsia="仿宋" w:cs="仿宋"/>
          <w:sz w:val="32"/>
          <w:szCs w:val="32"/>
        </w:rPr>
        <w:t>媒体进行现场采访报道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。安排</w:t>
      </w:r>
      <w:r>
        <w:rPr>
          <w:rFonts w:hint="eastAsia" w:ascii="仿宋" w:hAnsi="仿宋" w:eastAsia="仿宋" w:cs="仿宋"/>
          <w:sz w:val="32"/>
          <w:szCs w:val="32"/>
        </w:rPr>
        <w:t>专业摄影团队对活动全程进行专业图片拍摄、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活动整体1-2分钟及15秒视频、</w:t>
      </w:r>
      <w:r>
        <w:rPr>
          <w:rFonts w:hint="eastAsia" w:ascii="仿宋" w:hAnsi="仿宋" w:eastAsia="仿宋" w:cs="仿宋"/>
          <w:sz w:val="32"/>
          <w:szCs w:val="32"/>
        </w:rPr>
        <w:t>视频录像、花絮拍摄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和全程线上直播。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2）场馆阵地宣传：在市馆及各镇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图书馆等公共阅读空间主入口、场馆内显著位置等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地方布</w:t>
      </w:r>
      <w:r>
        <w:rPr>
          <w:rFonts w:hint="eastAsia" w:ascii="仿宋" w:hAnsi="仿宋" w:eastAsia="仿宋" w:cs="仿宋"/>
          <w:sz w:val="32"/>
          <w:szCs w:val="32"/>
        </w:rPr>
        <w:t>置宣传物料。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3）网络宣传：包括但不限于在中山市文化广电旅游局、中山纪念图书馆及各镇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图书馆的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官方</w:t>
      </w:r>
      <w:r>
        <w:rPr>
          <w:rFonts w:hint="eastAsia" w:ascii="仿宋" w:hAnsi="仿宋" w:eastAsia="仿宋" w:cs="仿宋"/>
          <w:sz w:val="32"/>
          <w:szCs w:val="32"/>
        </w:rPr>
        <w:t>网站和微信平台等进行宣传。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报刊宣传（专题报道）：在国家级报刊（包括但不限于中国文化报）开展不少于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1/3版</w:t>
      </w:r>
      <w:r>
        <w:rPr>
          <w:rFonts w:hint="eastAsia" w:ascii="仿宋" w:hAnsi="仿宋" w:eastAsia="仿宋" w:cs="仿宋"/>
          <w:sz w:val="32"/>
          <w:szCs w:val="32"/>
        </w:rPr>
        <w:t>的专题报道。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新媒体宣传：在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不少于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家市级</w:t>
      </w:r>
      <w:r>
        <w:rPr>
          <w:rFonts w:hint="eastAsia" w:ascii="仿宋" w:hAnsi="仿宋" w:eastAsia="仿宋" w:cs="仿宋"/>
          <w:sz w:val="32"/>
          <w:szCs w:val="32"/>
        </w:rPr>
        <w:t>新媒体平台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进行宣传</w:t>
      </w:r>
      <w:r>
        <w:rPr>
          <w:rFonts w:hint="eastAsia" w:ascii="仿宋" w:hAnsi="仿宋" w:eastAsia="仿宋" w:cs="仿宋"/>
          <w:sz w:val="32"/>
          <w:szCs w:val="32"/>
        </w:rPr>
        <w:t>报道、图文推送和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短</w:t>
      </w:r>
      <w:r>
        <w:rPr>
          <w:rFonts w:hint="eastAsia" w:ascii="仿宋" w:hAnsi="仿宋" w:eastAsia="仿宋" w:cs="仿宋"/>
          <w:sz w:val="32"/>
          <w:szCs w:val="32"/>
        </w:rPr>
        <w:t>视频宣传等。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电视台（电台）宣传：在电视台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电台播放活动宣传短片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和介绍</w:t>
      </w:r>
      <w:r>
        <w:rPr>
          <w:rFonts w:hint="eastAsia" w:ascii="仿宋" w:hAnsi="仿宋" w:eastAsia="仿宋" w:cs="仿宋"/>
          <w:sz w:val="32"/>
          <w:szCs w:val="32"/>
        </w:rPr>
        <w:t>报名方式等内容，积极发动公众参与。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LED户外屏宣传：在户外LED屏上滚动播放活动宣传短片和报名方式等内容，提高公众知晓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仿宋"/>
          <w:sz w:val="32"/>
          <w:szCs w:val="32"/>
        </w:rPr>
        <w:t>、参与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31960"/>
    <w:rsid w:val="08231960"/>
    <w:rsid w:val="1BB5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2022-05-13T21:44:00Z</dcterms:created>
  <dc:creator>余寒见舞（曾嘉恩）</dc:creator>
  <cp:lastModifiedBy>余寒见舞（曾嘉恩）</cp:lastModifiedBy>
  <dcterms:modified xsi:type="dcterms:W3CDTF">2022-05-13T21:45:19Z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93FA3568B6F64C4AA864852FC256A87E</vt:lpwstr>
  </property>
</Properties>
</file>